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>2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11.02.2022 года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кадровым вопросам  Администрации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 xml:space="preserve">О проведении антикоррупционной экспертизы проекта постановления Администрации Багаевского сельского поселения  «О </w:t>
      </w:r>
      <w:r>
        <w:rPr/>
        <w:t>внесении изменений в постановление Администрации Багаевского сельского поселения №433 от 04.08.2014г.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Председателя комиссии Малина Павла Павловича о рассмотрении проекта постановления Администрации Багаевского поселения   «О </w:t>
      </w:r>
      <w:r>
        <w:rPr/>
        <w:t>внесении изменений в постановление Администрации Багаевского сельского поселения №433 от 04.08.2014г.</w:t>
      </w:r>
      <w:r>
        <w:rPr/>
        <w:t>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проекте постановления Администрации Багаевского «О </w:t>
      </w:r>
      <w:r>
        <w:rPr/>
        <w:t>внесении изменений в постановление Администрации Багаевского сельского поселения №433 от 04.08.2014г.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b w:val="false"/>
          <w:bCs w:val="false"/>
          <w:sz w:val="28"/>
          <w:szCs w:val="28"/>
        </w:rPr>
        <w:t xml:space="preserve"> 11.02.2022 года          </w:t>
      </w:r>
      <w:r>
        <w:rPr>
          <w:sz w:val="28"/>
          <w:szCs w:val="28"/>
        </w:rPr>
        <w:t xml:space="preserve">                                                           ст. Багаевская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>
        <w:rPr>
          <w:b w:val="false"/>
          <w:bCs w:val="false"/>
          <w:sz w:val="28"/>
          <w:szCs w:val="28"/>
        </w:rPr>
        <w:t xml:space="preserve"> 11.02.2022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«О </w:t>
      </w:r>
      <w:r>
        <w:rPr>
          <w:sz w:val="28"/>
          <w:szCs w:val="28"/>
        </w:rPr>
        <w:t>внесении изменений в постановление Администрации Багаевского сельского поселения №433 от 04.08.2014г.</w:t>
      </w:r>
      <w:r>
        <w:rPr>
          <w:sz w:val="28"/>
          <w:szCs w:val="28"/>
        </w:rPr>
        <w:t>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78" w:right="53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LibreOffice/7.0.3.1$Windows_X86_64 LibreOffice_project/d7547858d014d4cf69878db179d326fc3483e082</Application>
  <Pages>2</Pages>
  <Words>370</Words>
  <Characters>2960</Characters>
  <CharactersWithSpaces>4310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2022-06-16T15:23:30Z</cp:lastPrinted>
  <dcterms:modified xsi:type="dcterms:W3CDTF">2022-06-20T11:55:09Z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