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сентября 2013г.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699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A15A60" w:rsidRPr="00A15A60" w:rsidTr="00E24A96">
        <w:tc>
          <w:tcPr>
            <w:tcW w:w="4536" w:type="dxa"/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24A96">
        <w:rPr>
          <w:rFonts w:ascii="Times New Roman" w:hAnsi="Times New Roman" w:cs="Times New Roman"/>
          <w:sz w:val="28"/>
          <w:szCs w:val="28"/>
        </w:rPr>
        <w:t>,</w:t>
      </w:r>
      <w:r w:rsidR="00E24A96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05</w:t>
      </w:r>
      <w:r w:rsidR="00E24A96"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639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4A96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</w:t>
      </w:r>
      <w:r w:rsidR="006178A2">
        <w:rPr>
          <w:rFonts w:ascii="Times New Roman" w:hAnsi="Times New Roman" w:cs="Times New Roman"/>
          <w:sz w:val="28"/>
          <w:szCs w:val="28"/>
        </w:rPr>
        <w:t>эффективности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транспортной системы в Багаевском сельском поселении» (в соответствии с приложением).</w:t>
      </w:r>
    </w:p>
    <w:p w:rsidR="00A15A60" w:rsidRPr="00A15A60" w:rsidRDefault="007C13F9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5A60" w:rsidRPr="00A15A60"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Багаевского сельского поселения  предусмотреть средства для реализации муниципальной программы на 2014-20</w:t>
      </w:r>
      <w:r w:rsidR="00021EA9">
        <w:rPr>
          <w:rFonts w:ascii="Times New Roman" w:hAnsi="Times New Roman" w:cs="Times New Roman"/>
          <w:sz w:val="28"/>
          <w:szCs w:val="28"/>
        </w:rPr>
        <w:t>20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годы при формировании бюджета Багаевского сельского поселения на очередной финансовый год. 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вступает в силу 01.01.2014 года.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4. Постановление Администрации Багаевского сельского поселения «Об утверждении муниципальной долгосрочной целевой программы «Развитие сети автомобильных дорог общего пользования местного значения на территории муниципального образования «Багаевское сельское поселение» на 2013-2015 годы» от 28.09.2012 года № 540 считать утратившим силу с 01.01.201</w:t>
      </w:r>
      <w:r w:rsidR="00A12BD4"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данного постановления возложить на заместителя главы Администрации Багаевского сельского поселения В.А. Романова.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B87" w:rsidRDefault="00257B87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B87" w:rsidRDefault="00257B87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Pr="00A15A60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Глава Багаевского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24A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Г.О. Зорина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B87" w:rsidRDefault="00257B87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B87" w:rsidRDefault="00257B87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96" w:rsidRPr="00A15A60" w:rsidRDefault="00E24A9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7C13F9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5A60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5A60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A15A60" w:rsidRPr="00A15A60" w:rsidRDefault="00A15A60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257B87">
        <w:rPr>
          <w:rFonts w:ascii="Times New Roman" w:hAnsi="Times New Roman" w:cs="Times New Roman"/>
          <w:sz w:val="28"/>
          <w:szCs w:val="28"/>
        </w:rPr>
        <w:t>30</w:t>
      </w:r>
      <w:r w:rsidRPr="00A15A60">
        <w:rPr>
          <w:rFonts w:ascii="Times New Roman" w:hAnsi="Times New Roman" w:cs="Times New Roman"/>
          <w:sz w:val="28"/>
          <w:szCs w:val="28"/>
        </w:rPr>
        <w:t xml:space="preserve">.09.2013г. № </w:t>
      </w:r>
      <w:r w:rsidR="00257B87">
        <w:rPr>
          <w:rFonts w:ascii="Times New Roman" w:hAnsi="Times New Roman" w:cs="Times New Roman"/>
          <w:sz w:val="28"/>
          <w:szCs w:val="28"/>
        </w:rPr>
        <w:t>699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4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021EA9"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1EA9"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0,0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A60" w:rsidRPr="00A15A60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A60" w:rsidRPr="00A15A60" w:rsidRDefault="00A15A60" w:rsidP="00E24A9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06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3. 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4. 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Default="00A15A60" w:rsidP="00B2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 </w:t>
      </w:r>
      <w:r w:rsidR="00B24F5F"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</w:t>
      </w:r>
    </w:p>
    <w:p w:rsidR="003F698F" w:rsidRPr="00A15A60" w:rsidRDefault="003F698F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В настоящее время протяженность автомобильных дорог общего пользования местного значения в Багаевском сельском поселении Багаевском районе Ростовской области составляет – 117,7 километров.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состояние дорог. Для их соответствия нормативным требованиям необходимо выполнение различных видов дорожных работ: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24F5F" w:rsidRDefault="00B24F5F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199" w:rsidRDefault="00B24F5F" w:rsidP="00D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3. </w:t>
      </w:r>
      <w:r w:rsidR="00DE4199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A15A60">
        <w:rPr>
          <w:rFonts w:ascii="Times New Roman" w:hAnsi="Times New Roman" w:cs="Times New Roman"/>
          <w:sz w:val="28"/>
          <w:szCs w:val="28"/>
        </w:rPr>
        <w:t>задачи</w:t>
      </w:r>
      <w:r w:rsidR="00DE4199">
        <w:rPr>
          <w:rFonts w:ascii="Times New Roman" w:hAnsi="Times New Roman" w:cs="Times New Roman"/>
          <w:sz w:val="28"/>
          <w:szCs w:val="28"/>
        </w:rPr>
        <w:t xml:space="preserve"> и показатели (индикаторы), основные ожидаемые</w:t>
      </w:r>
    </w:p>
    <w:p w:rsidR="00B24F5F" w:rsidRPr="00A15A60" w:rsidRDefault="00DE4199" w:rsidP="00D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программы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Срок реализации Программы – 2014-20</w:t>
      </w:r>
      <w:r w:rsidR="006E0A41"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</w:t>
      </w:r>
      <w:r w:rsidR="006E0A41">
        <w:rPr>
          <w:rFonts w:ascii="Times New Roman" w:hAnsi="Times New Roman" w:cs="Times New Roman"/>
          <w:sz w:val="28"/>
          <w:szCs w:val="28"/>
        </w:rPr>
        <w:t xml:space="preserve">и автомобильных дорог местного </w:t>
      </w:r>
      <w:r w:rsidRPr="00A15A60">
        <w:rPr>
          <w:rFonts w:ascii="Times New Roman" w:hAnsi="Times New Roman" w:cs="Times New Roman"/>
          <w:sz w:val="28"/>
          <w:szCs w:val="28"/>
        </w:rPr>
        <w:t>значения, не отвечающих нормативным требованиям, в общей протяженност</w:t>
      </w:r>
      <w:r w:rsidR="006E0A41">
        <w:rPr>
          <w:rFonts w:ascii="Times New Roman" w:hAnsi="Times New Roman" w:cs="Times New Roman"/>
          <w:sz w:val="28"/>
          <w:szCs w:val="28"/>
        </w:rPr>
        <w:t xml:space="preserve">и автомобильных дорог местного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значения». </w:t>
      </w:r>
    </w:p>
    <w:p w:rsidR="003F698F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представлены в таблице № 1.</w:t>
      </w:r>
    </w:p>
    <w:p w:rsidR="003F698F" w:rsidRDefault="003F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98F" w:rsidRPr="00A15A60" w:rsidRDefault="00A15A60" w:rsidP="00A15A60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327"/>
        <w:gridCol w:w="1471"/>
        <w:gridCol w:w="780"/>
        <w:gridCol w:w="781"/>
        <w:gridCol w:w="781"/>
        <w:gridCol w:w="781"/>
        <w:gridCol w:w="781"/>
        <w:gridCol w:w="781"/>
        <w:gridCol w:w="781"/>
      </w:tblGrid>
      <w:tr w:rsidR="006E0A41" w:rsidRPr="00A15A60" w:rsidTr="00CD0FEA">
        <w:trPr>
          <w:cantSplit/>
          <w:jc w:val="center"/>
        </w:trPr>
        <w:tc>
          <w:tcPr>
            <w:tcW w:w="9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7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vMerge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</w:t>
            </w:r>
            <w:r w:rsidR="00257B87">
              <w:rPr>
                <w:rFonts w:ascii="Times New Roman" w:hAnsi="Times New Roman" w:cs="Times New Roman"/>
                <w:sz w:val="28"/>
                <w:szCs w:val="28"/>
              </w:rPr>
              <w:t>ния, содержание которых осущест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вляется круглогодичн</w:t>
            </w:r>
            <w:r w:rsidR="00257B87">
              <w:rPr>
                <w:rFonts w:ascii="Times New Roman" w:hAnsi="Times New Roman" w:cs="Times New Roman"/>
                <w:sz w:val="28"/>
                <w:szCs w:val="28"/>
              </w:rPr>
              <w:t>о, в общей протяженности автомо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D0FEA" w:rsidRDefault="00CD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FEA" w:rsidRDefault="00CD0FEA" w:rsidP="00CD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Характеристика основных мероприятий программы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Доля автомобильных дорог местного значения (общего пользования) в Багаевском сельском поселении Багаевском районе Ростовской области, не отвечающих нормативным требованиям, в 2013 году составляла 54,5 процента. 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Для улучшения показателей, необходимо увеличение средств, выделяемых на приведение в нормативное состояние автомобильных дорог. 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требуются реконструкция перегруженных участков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Багаевском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D0FEA" w:rsidRPr="00A15A60" w:rsidRDefault="00CD0FEA" w:rsidP="00CD0FEA">
      <w:pPr>
        <w:spacing w:after="0"/>
        <w:ind w:firstLine="72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footerReference w:type="even" r:id="rId7"/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:rsidR="00A15A60" w:rsidRPr="00A15A60" w:rsidRDefault="00CD0FEA" w:rsidP="00A15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по ресурсному обеспечению пр</w:t>
      </w:r>
      <w:r w:rsidR="00DE4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441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3"/>
      </w:tblGrid>
      <w:tr w:rsidR="007145F4" w:rsidRPr="00A15A60" w:rsidTr="00257B87">
        <w:trPr>
          <w:cantSplit/>
          <w:tblHeader/>
          <w:jc w:val="center"/>
        </w:trPr>
        <w:tc>
          <w:tcPr>
            <w:tcW w:w="434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9072" w:type="dxa"/>
            <w:gridSpan w:val="8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06716" w:rsidRPr="00A15A60" w:rsidTr="00257B87">
        <w:trPr>
          <w:cantSplit/>
          <w:tblHeader/>
          <w:jc w:val="center"/>
        </w:trPr>
        <w:tc>
          <w:tcPr>
            <w:tcW w:w="434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3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16" w:rsidRPr="00A15A60" w:rsidTr="00257B87">
        <w:trPr>
          <w:cantSplit/>
          <w:tblHeader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trHeight w:val="263"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B87" w:rsidRPr="00A15A60" w:rsidTr="00257B87">
        <w:trPr>
          <w:cantSplit/>
          <w:jc w:val="center"/>
        </w:trPr>
        <w:tc>
          <w:tcPr>
            <w:tcW w:w="48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257B87" w:rsidRPr="00A15A60" w:rsidTr="00257B87">
        <w:trPr>
          <w:cantSplit/>
          <w:jc w:val="center"/>
        </w:trPr>
        <w:tc>
          <w:tcPr>
            <w:tcW w:w="48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257B87" w:rsidRPr="00A15A60" w:rsidTr="00257B87">
        <w:trPr>
          <w:cantSplit/>
          <w:jc w:val="center"/>
        </w:trPr>
        <w:tc>
          <w:tcPr>
            <w:tcW w:w="48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Т.П. Кречетова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C90484" w:rsidRPr="00A15A60" w:rsidTr="000654EE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C90484" w:rsidRPr="00A15A60" w:rsidTr="000654EE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90484" w:rsidRPr="00A15A60" w:rsidTr="000654EE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A15A60" w:rsidRPr="00A15A60" w:rsidTr="00E06716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 Мероприятия по содержанию автомобильных дорог общего пользования</w:t>
            </w:r>
          </w:p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257B87" w:rsidRPr="00A15A60" w:rsidTr="000654EE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17402,7</w:t>
            </w:r>
          </w:p>
        </w:tc>
      </w:tr>
      <w:tr w:rsidR="00257B87" w:rsidRPr="00A15A60" w:rsidTr="000654EE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257B87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 Мероприятия по капитальному ремонту автомобильных дорог общего пользования</w:t>
            </w:r>
          </w:p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 значения и искусственных сооружений на них</w:t>
            </w:r>
          </w:p>
        </w:tc>
      </w:tr>
      <w:tr w:rsidR="00257B87" w:rsidRPr="00A15A60" w:rsidTr="000654EE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E06716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257B87" w:rsidRPr="00A15A60" w:rsidTr="000654EE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</w:t>
            </w:r>
            <w:r w:rsidR="000654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3.2</w:t>
            </w:r>
            <w:r w:rsidR="000654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</w:tbl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84" w:rsidRPr="00A15A60" w:rsidRDefault="00C90484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</w:t>
      </w:r>
      <w:r w:rsidR="00C904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 w:rsidR="00C90484"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FC4D85">
        <w:trPr>
          <w:trHeight w:val="330"/>
        </w:trPr>
        <w:tc>
          <w:tcPr>
            <w:tcW w:w="482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1134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FC4D85">
        <w:trPr>
          <w:cantSplit/>
          <w:trHeight w:val="2257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D85" w:rsidRPr="00A15A60" w:rsidTr="00FC4D85">
        <w:trPr>
          <w:cantSplit/>
          <w:trHeight w:val="2256"/>
        </w:trPr>
        <w:tc>
          <w:tcPr>
            <w:tcW w:w="482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</w:t>
      </w:r>
      <w:r w:rsidR="008366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257B87">
        <w:trPr>
          <w:trHeight w:val="330"/>
        </w:trPr>
        <w:tc>
          <w:tcPr>
            <w:tcW w:w="482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982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по реконструкции и строительству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D85" w:rsidRPr="00FC4D85" w:rsidTr="00257B87">
        <w:trPr>
          <w:cantSplit/>
          <w:trHeight w:val="2256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Т.П. Кречетова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headerReference w:type="even" r:id="rId9"/>
          <w:headerReference w:type="default" r:id="rId10"/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15A60" w:rsidRPr="00A15A60" w:rsidRDefault="00CD0FEA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15A60" w:rsidRPr="00A15A60">
        <w:rPr>
          <w:rFonts w:ascii="Times New Roman" w:hAnsi="Times New Roman" w:cs="Times New Roman"/>
          <w:sz w:val="28"/>
          <w:szCs w:val="28"/>
        </w:rPr>
        <w:t>МЕТОДИКА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1. Оценка эффективности реализации муниципальной программы «Развитие транспортной системы в Багаевском сельском поселении» (далее – Программа) осуществляется заказчиком Программы – Администрацией Багаевского сельского поселения по годам в течение всего срока реализации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2.1. 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индикатора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(ЦИП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фактическое (плановое) значение i-го целевого индикатора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Значение показателя 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БЗФ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БЗП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i-го мероприятия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БЗФ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(БЗП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i-го мероприятия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Значение показателя 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2.3. Критерий «Эффективность использования бюджетных средств на реализацию отдельных мероприятий» показывает расход бюджетных средств </w:t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БРП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 xml:space="preserve">i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>БРФ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A15A60" w:rsidRPr="00A15A60" w:rsidRDefault="00A15A60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>--------------------------   ;</w:t>
      </w:r>
      <w:r w:rsidRPr="00A15A60">
        <w:rPr>
          <w:rFonts w:ascii="Times New Roman" w:hAnsi="Times New Roman" w:cs="Times New Roman"/>
          <w:sz w:val="28"/>
          <w:szCs w:val="28"/>
        </w:rPr>
        <w:t xml:space="preserve">  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A15A60" w:rsidRPr="00A15A60" w:rsidRDefault="00A15A60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 xml:space="preserve">i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 (ЭФ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плановая (фактическая) отдача бюджетных средств</w:t>
      </w:r>
      <w:r w:rsidRPr="00A15A60">
        <w:rPr>
          <w:rFonts w:ascii="Times New Roman" w:hAnsi="Times New Roman" w:cs="Times New Roman"/>
          <w:sz w:val="28"/>
          <w:szCs w:val="28"/>
        </w:rPr>
        <w:br/>
        <w:t>по i-му мероприятию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БРП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 (БРФ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плановый (фактический) расход бюджетных средств</w:t>
      </w:r>
      <w:r w:rsidRPr="00A15A60">
        <w:rPr>
          <w:rFonts w:ascii="Times New Roman" w:hAnsi="Times New Roman" w:cs="Times New Roman"/>
          <w:sz w:val="28"/>
          <w:szCs w:val="28"/>
        </w:rPr>
        <w:br/>
        <w:t>на i-е мероприятие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 (ЦИФ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плановое (фактическое) значение целевого индикатора</w:t>
      </w:r>
      <w:r w:rsidRPr="00A15A60">
        <w:rPr>
          <w:rFonts w:ascii="Times New Roman" w:hAnsi="Times New Roman" w:cs="Times New Roman"/>
          <w:sz w:val="28"/>
          <w:szCs w:val="28"/>
        </w:rPr>
        <w:br/>
        <w:t>по i-му мероприятию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Значение показателя 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не должно превышать значения показателя 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7C13F9">
        <w:rPr>
          <w:rFonts w:ascii="Times New Roman" w:hAnsi="Times New Roman" w:cs="Times New Roman"/>
          <w:sz w:val="28"/>
          <w:szCs w:val="28"/>
        </w:rPr>
        <w:t>.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309B7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Т.П. Кречетова</w:t>
      </w:r>
    </w:p>
    <w:sectPr w:rsidR="00C309B7" w:rsidRPr="00A15A60" w:rsidSect="00FC4D85">
      <w:footerReference w:type="even" r:id="rId12"/>
      <w:footerReference w:type="default" r:id="rId13"/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96" w:rsidRDefault="00416C96" w:rsidP="005C4235">
      <w:pPr>
        <w:spacing w:after="0" w:line="240" w:lineRule="auto"/>
      </w:pPr>
      <w:r>
        <w:separator/>
      </w:r>
    </w:p>
  </w:endnote>
  <w:endnote w:type="continuationSeparator" w:id="1">
    <w:p w:rsidR="00416C96" w:rsidRDefault="00416C96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F" w:rsidRDefault="00C40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0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A9F" w:rsidRDefault="0068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F" w:rsidRPr="003F698F" w:rsidRDefault="00680A9F" w:rsidP="003F69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F" w:rsidRDefault="00680A9F" w:rsidP="00E24A96">
    <w:pPr>
      <w:pStyle w:val="a3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F" w:rsidRDefault="00C40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0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A9F" w:rsidRDefault="00680A9F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F" w:rsidRPr="00E67349" w:rsidRDefault="00680A9F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96" w:rsidRDefault="00416C96" w:rsidP="005C4235">
      <w:pPr>
        <w:spacing w:after="0" w:line="240" w:lineRule="auto"/>
      </w:pPr>
      <w:r>
        <w:separator/>
      </w:r>
    </w:p>
  </w:footnote>
  <w:footnote w:type="continuationSeparator" w:id="1">
    <w:p w:rsidR="00416C96" w:rsidRDefault="00416C96" w:rsidP="005C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F" w:rsidRDefault="00C400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0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A9F" w:rsidRDefault="00680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9F" w:rsidRPr="0045706A" w:rsidRDefault="00680A9F" w:rsidP="00E24A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21EA9"/>
    <w:rsid w:val="000654EE"/>
    <w:rsid w:val="00136945"/>
    <w:rsid w:val="001D50DB"/>
    <w:rsid w:val="00257B87"/>
    <w:rsid w:val="00262975"/>
    <w:rsid w:val="003F698F"/>
    <w:rsid w:val="00416C96"/>
    <w:rsid w:val="004F05D5"/>
    <w:rsid w:val="005C4235"/>
    <w:rsid w:val="005E6525"/>
    <w:rsid w:val="006178A2"/>
    <w:rsid w:val="00671DED"/>
    <w:rsid w:val="00680A9F"/>
    <w:rsid w:val="006E0A41"/>
    <w:rsid w:val="007145F4"/>
    <w:rsid w:val="007A29B8"/>
    <w:rsid w:val="007C13F9"/>
    <w:rsid w:val="007F4C71"/>
    <w:rsid w:val="00802E35"/>
    <w:rsid w:val="0083665D"/>
    <w:rsid w:val="00932AC2"/>
    <w:rsid w:val="00933557"/>
    <w:rsid w:val="0094066B"/>
    <w:rsid w:val="009B0FD2"/>
    <w:rsid w:val="00A12BD4"/>
    <w:rsid w:val="00A15A60"/>
    <w:rsid w:val="00B24F5F"/>
    <w:rsid w:val="00BB3FF4"/>
    <w:rsid w:val="00C309B7"/>
    <w:rsid w:val="00C4008F"/>
    <w:rsid w:val="00C90484"/>
    <w:rsid w:val="00CD0FEA"/>
    <w:rsid w:val="00DE4199"/>
    <w:rsid w:val="00E06716"/>
    <w:rsid w:val="00E24A96"/>
    <w:rsid w:val="00E3524F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A113-D674-4592-94FF-AB83806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25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2013-10-03T06:18:00Z</cp:lastPrinted>
  <dcterms:created xsi:type="dcterms:W3CDTF">2013-09-11T06:00:00Z</dcterms:created>
  <dcterms:modified xsi:type="dcterms:W3CDTF">2013-10-07T11:21:00Z</dcterms:modified>
</cp:coreProperties>
</file>